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03" w:rsidRDefault="00093903" w:rsidP="00093903">
      <w:pPr>
        <w:snapToGrid w:val="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95498"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附件一：日程安排表</w:t>
      </w:r>
    </w:p>
    <w:p w:rsidR="00093903" w:rsidRPr="00A95498" w:rsidRDefault="00093903" w:rsidP="00093903">
      <w:pPr>
        <w:snapToGrid w:val="0"/>
        <w:rPr>
          <w:rFonts w:asciiTheme="minorEastAsia" w:eastAsiaTheme="minorEastAsia" w:hAnsiTheme="minorEastAsia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8059"/>
      </w:tblGrid>
      <w:tr w:rsidR="00093903" w:rsidRPr="00A95498" w:rsidTr="00093903">
        <w:trPr>
          <w:cantSplit/>
          <w:trHeight w:val="3237"/>
          <w:jc w:val="center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10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月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25日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（星期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六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）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0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9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: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0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0-1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2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: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0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autoSpaceDN w:val="0"/>
              <w:rPr>
                <w:rFonts w:asciiTheme="minorEastAsia" w:eastAsiaTheme="minorEastAsia" w:hAnsiTheme="minorEastAsia" w:cs="宋体"/>
                <w:b/>
                <w:bCs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/>
                <w:bCs/>
                <w:sz w:val="24"/>
                <w:shd w:val="clear" w:color="auto" w:fill="FFFFFF"/>
              </w:rPr>
              <w:t>制剂处方设计与研究中的QbD理念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hd w:val="clear" w:color="auto" w:fill="FFFFFF"/>
              </w:rPr>
              <w:t>Ø药品开发的处方前研究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1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原料药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</w:rPr>
              <w:t>理化性质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</w:rPr>
              <w:t>生物学性质的测定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2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辅料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 xml:space="preserve">    3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原辅料的相容性研究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hd w:val="clear" w:color="auto" w:fill="FFFFFF"/>
              </w:rPr>
              <w:t>Ø处方研究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1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处方设计的一般考虑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 xml:space="preserve">        2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处方变量的初始风险评估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3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生产工艺平台的选择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 xml:space="preserve">        4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实验设计在处方研究中的应用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5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处方变量的更新风险评估</w:t>
            </w:r>
            <w:r w:rsidRPr="00A95498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 xml:space="preserve">    6</w:t>
            </w:r>
            <w:r w:rsidRPr="00A95498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处方研究案例分析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hd w:val="clear" w:color="auto" w:fill="FFFFFF"/>
              </w:rPr>
              <w:t xml:space="preserve">主讲人：王教授  青岛科技大学   曾任苏州东瑞制药总经理 </w:t>
            </w:r>
          </w:p>
        </w:tc>
      </w:tr>
      <w:tr w:rsidR="00093903" w:rsidRPr="00A95498" w:rsidTr="00093903">
        <w:trPr>
          <w:cantSplit/>
          <w:trHeight w:val="2517"/>
          <w:jc w:val="center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10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月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25日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（星期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六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）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14:00-17:00</w:t>
            </w:r>
          </w:p>
        </w:tc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autoSpaceDN w:val="0"/>
              <w:rPr>
                <w:rFonts w:asciiTheme="minorEastAsia" w:eastAsiaTheme="minorEastAsia" w:hAnsiTheme="minorEastAsia" w:cs="宋体"/>
                <w:b/>
                <w:bCs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制剂</w:t>
            </w:r>
            <w:r w:rsidRPr="00A95498">
              <w:rPr>
                <w:rFonts w:asciiTheme="minorEastAsia" w:eastAsiaTheme="minorEastAsia" w:hAnsiTheme="minorEastAsia" w:cs="宋体" w:hint="eastAsia"/>
                <w:b/>
                <w:bCs/>
                <w:sz w:val="24"/>
                <w:shd w:val="clear" w:color="auto" w:fill="FFFFFF"/>
              </w:rPr>
              <w:t>工艺设计与研究中的QbD理念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QbD目标产品的质量概括、起草文件确定关键质量属性（CQAs）说明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生产工艺变量的初始风险评估</w:t>
            </w: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   3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关键生产步骤和关键工艺参数的确定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4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实验设计在工艺研究中的应用</w:t>
            </w: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   5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设计空间的建立</w:t>
            </w: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   6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工艺分析技术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7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关键工艺参数与关键物料特性</w:t>
            </w:r>
            <w:r w:rsidRPr="00A9549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   8</w:t>
            </w:r>
            <w:r w:rsidRPr="00A95498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生产工艺变量的更新风险评估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主讲人：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中国药科大学相关专家</w:t>
            </w:r>
          </w:p>
        </w:tc>
      </w:tr>
      <w:tr w:rsidR="00093903" w:rsidRPr="00A95498" w:rsidTr="00093903">
        <w:trPr>
          <w:cantSplit/>
          <w:trHeight w:val="3814"/>
          <w:jc w:val="center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10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月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26日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（星期日）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09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:00-1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2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:00</w:t>
            </w:r>
          </w:p>
        </w:tc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制剂研发中对照品的使用及分析方法选择和验证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1、对照品的来源、结构鉴别鉴定、质量标准等要求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2、制剂产品所涉及的主要分析方法及所含内容的基本格式要求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3、含量和杂质分析方法的研发包括关键参数的选择与要求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4、强力降解试验以及降解途径的研究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主讲人：山博士 中国医科院生物技术所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5、其他来源或内部研制的分析方法全验证要求、验证方案及预验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6、含量、杂质及残留溶剂的分析方法全验证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6.1验证参数、范围          6.2可接受标准简介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hd w:val="clear" w:color="auto" w:fill="FFFFFF"/>
              </w:rPr>
              <w:t>6.3验证结果总结、图表内容及色谱图打印格式要求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主讲人：北京市审评专家或相关药检专家</w:t>
            </w:r>
          </w:p>
        </w:tc>
      </w:tr>
      <w:tr w:rsidR="00093903" w:rsidRPr="00A95498" w:rsidTr="002725A2">
        <w:trPr>
          <w:cantSplit/>
          <w:trHeight w:val="1895"/>
          <w:jc w:val="center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10</w:t>
            </w: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月</w:t>
            </w:r>
            <w:r w:rsidRPr="00A9549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hd w:val="clear" w:color="auto" w:fill="FFFFFF"/>
              </w:rPr>
              <w:t>26日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（星期日）</w:t>
            </w:r>
          </w:p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000000"/>
                <w:sz w:val="24"/>
                <w:shd w:val="clear" w:color="auto" w:fill="FFFFFF"/>
              </w:rPr>
              <w:t>14:00-17:00</w:t>
            </w:r>
          </w:p>
        </w:tc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制剂产品质量标准的建立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1.根据ICH指南建立制剂成品药常规放行及稳定性测试的质量标准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2.药物含的工艺杂质和降解产物的研究、控制及限度制定及制定依据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3.对超出鉴别阈值的未知杂质及超出质控阈值的已知杂质的处理方法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 xml:space="preserve">4.药物含的残留溶剂的起源、分类、限度控制及限度制定依据 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5.药物含的元素杂质的起源、分类、评价及控制策略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6.药物的警示结构及具基因毒性杂质的定义、分类、评价及其控制策略</w:t>
            </w:r>
          </w:p>
          <w:p w:rsidR="00093903" w:rsidRPr="00A95498" w:rsidRDefault="00093903" w:rsidP="002725A2">
            <w:pPr>
              <w:widowControl/>
              <w:shd w:val="clear" w:color="auto" w:fill="FFFFFF"/>
              <w:rPr>
                <w:rStyle w:val="a5"/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A954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主讲人：江苏省药检所 相关专家</w:t>
            </w:r>
          </w:p>
        </w:tc>
      </w:tr>
      <w:tr w:rsidR="00093903" w:rsidRPr="00A95498" w:rsidTr="002725A2">
        <w:trPr>
          <w:cantSplit/>
          <w:trHeight w:val="478"/>
          <w:jc w:val="center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333333"/>
                <w:sz w:val="24"/>
                <w:shd w:val="clear" w:color="auto" w:fill="FFFFFF"/>
              </w:rPr>
              <w:t>备注</w:t>
            </w:r>
          </w:p>
        </w:tc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03" w:rsidRPr="00A95498" w:rsidRDefault="00093903" w:rsidP="002725A2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A95498">
              <w:rPr>
                <w:rFonts w:asciiTheme="minorEastAsia" w:eastAsiaTheme="minorEastAsia" w:hAnsiTheme="minorEastAsia"/>
                <w:b/>
                <w:color w:val="333333"/>
                <w:sz w:val="24"/>
                <w:shd w:val="clear" w:color="auto" w:fill="FFFFFF"/>
              </w:rPr>
              <w:t>每天除专家报告外，还安排了约1小时的代表发言和提问时间</w:t>
            </w:r>
          </w:p>
        </w:tc>
      </w:tr>
    </w:tbl>
    <w:p w:rsidR="00093903" w:rsidRDefault="00093903" w:rsidP="00093903">
      <w:pPr>
        <w:snapToGrid w:val="0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</w:p>
    <w:p w:rsidR="00960733" w:rsidRDefault="00960733" w:rsidP="00960733">
      <w:pPr>
        <w:snapToGrid w:val="0"/>
        <w:spacing w:line="50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附件二</w:t>
      </w:r>
      <w:r>
        <w:rPr>
          <w:rFonts w:hint="eastAsia"/>
          <w:b/>
          <w:bCs/>
          <w:sz w:val="28"/>
        </w:rPr>
        <w:t>:</w:t>
      </w:r>
    </w:p>
    <w:p w:rsidR="00960733" w:rsidRDefault="00960733" w:rsidP="00960733">
      <w:pPr>
        <w:snapToGrid w:val="0"/>
        <w:spacing w:line="500" w:lineRule="exact"/>
        <w:rPr>
          <w:rFonts w:hint="eastAsia"/>
          <w:b/>
          <w:bCs/>
          <w:sz w:val="28"/>
        </w:rPr>
      </w:pPr>
    </w:p>
    <w:p w:rsidR="00960733" w:rsidRDefault="00960733" w:rsidP="00960733">
      <w:pPr>
        <w:snapToGrid w:val="0"/>
        <w:spacing w:line="50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药物制剂研发、分析与质量标准制定及案例分析研讨会回执表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706"/>
        <w:gridCol w:w="569"/>
        <w:gridCol w:w="758"/>
        <w:gridCol w:w="600"/>
        <w:gridCol w:w="347"/>
        <w:gridCol w:w="414"/>
        <w:gridCol w:w="869"/>
        <w:gridCol w:w="927"/>
        <w:gridCol w:w="2273"/>
      </w:tblGrid>
      <w:tr w:rsidR="00960733" w:rsidTr="002725A2">
        <w:trPr>
          <w:trHeight w:val="613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/>
                <w:b/>
                <w:kern w:val="0"/>
                <w:sz w:val="24"/>
              </w:rPr>
              <w:t>单位名称</w:t>
            </w:r>
          </w:p>
        </w:tc>
        <w:tc>
          <w:tcPr>
            <w:tcW w:w="74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 </w:t>
            </w:r>
          </w:p>
        </w:tc>
      </w:tr>
      <w:tr w:rsidR="00960733" w:rsidTr="002725A2">
        <w:trPr>
          <w:trHeight w:val="558"/>
          <w:jc w:val="center"/>
        </w:trPr>
        <w:tc>
          <w:tcPr>
            <w:tcW w:w="148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地 址</w:t>
            </w:r>
          </w:p>
        </w:tc>
        <w:tc>
          <w:tcPr>
            <w:tcW w:w="4263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 </w:t>
            </w:r>
          </w:p>
        </w:tc>
      </w:tr>
      <w:tr w:rsidR="00960733" w:rsidTr="002725A2">
        <w:trPr>
          <w:cantSplit/>
          <w:trHeight w:val="703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电话/手机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center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</w:t>
            </w:r>
          </w:p>
        </w:tc>
      </w:tr>
      <w:tr w:rsidR="00960733" w:rsidTr="002725A2">
        <w:trPr>
          <w:cantSplit/>
          <w:trHeight w:val="656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参会人员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姓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部门/职务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  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手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机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邮箱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/传真</w:t>
            </w:r>
          </w:p>
        </w:tc>
      </w:tr>
      <w:tr w:rsidR="00960733" w:rsidTr="002725A2">
        <w:trPr>
          <w:cantSplit/>
          <w:trHeight w:val="625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cantSplit/>
          <w:trHeight w:val="675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trHeight w:val="670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trHeight w:val="670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trHeight w:val="665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trHeight w:val="726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trHeight w:val="651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960733" w:rsidTr="002725A2">
        <w:trPr>
          <w:trHeight w:val="545"/>
          <w:jc w:val="center"/>
        </w:trPr>
        <w:tc>
          <w:tcPr>
            <w:tcW w:w="4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 w:val="28"/>
                <w:szCs w:val="28"/>
              </w:rPr>
              <w:t>是否住宿：</w:t>
            </w:r>
            <w:r>
              <w:rPr>
                <w:rFonts w:ascii="新宋体" w:eastAsia="新宋体" w:hAnsi="新宋体" w:cs="新宋体" w:hint="eastAsia"/>
                <w:kern w:val="0"/>
                <w:sz w:val="32"/>
                <w:szCs w:val="32"/>
              </w:rPr>
              <w:t>单间○标间○ 否○</w:t>
            </w:r>
          </w:p>
        </w:tc>
        <w:tc>
          <w:tcPr>
            <w:tcW w:w="4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0733" w:rsidRDefault="00960733" w:rsidP="002725A2">
            <w:pPr>
              <w:widowControl/>
              <w:spacing w:line="440" w:lineRule="atLeast"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住宿时间:  </w:t>
            </w:r>
          </w:p>
        </w:tc>
      </w:tr>
      <w:tr w:rsidR="00960733" w:rsidTr="002725A2">
        <w:trPr>
          <w:trHeight w:val="491"/>
          <w:jc w:val="center"/>
        </w:trPr>
        <w:tc>
          <w:tcPr>
            <w:tcW w:w="4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大会发言：是</w:t>
            </w:r>
            <w:r>
              <w:rPr>
                <w:rFonts w:ascii="新宋体" w:eastAsia="新宋体" w:hAnsi="新宋体" w:cs="新宋体" w:hint="eastAsia"/>
                <w:kern w:val="0"/>
                <w:sz w:val="32"/>
                <w:szCs w:val="32"/>
              </w:rPr>
              <w:t>○ 否○</w:t>
            </w:r>
          </w:p>
        </w:tc>
        <w:tc>
          <w:tcPr>
            <w:tcW w:w="4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60733" w:rsidRDefault="00960733" w:rsidP="002725A2">
            <w:pPr>
              <w:widowControl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产品宣传：是</w:t>
            </w:r>
            <w:r>
              <w:rPr>
                <w:rFonts w:ascii="新宋体" w:eastAsia="新宋体" w:hAnsi="新宋体" w:cs="新宋体" w:hint="eastAsia"/>
                <w:kern w:val="0"/>
                <w:sz w:val="32"/>
                <w:szCs w:val="32"/>
              </w:rPr>
              <w:t>○ 否○</w:t>
            </w:r>
          </w:p>
        </w:tc>
      </w:tr>
      <w:tr w:rsidR="00960733" w:rsidTr="002725A2">
        <w:trPr>
          <w:trHeight w:val="1083"/>
          <w:jc w:val="center"/>
        </w:trPr>
        <w:tc>
          <w:tcPr>
            <w:tcW w:w="8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60733" w:rsidRDefault="00960733" w:rsidP="002725A2">
            <w:pPr>
              <w:pStyle w:val="a7"/>
              <w:tabs>
                <w:tab w:val="left" w:pos="1440"/>
              </w:tabs>
              <w:spacing w:line="400" w:lineRule="exact"/>
              <w:ind w:firstLine="0"/>
              <w:jc w:val="left"/>
              <w:rPr>
                <w:rFonts w:hAnsi="宋体" w:hint="eastAsia"/>
                <w:szCs w:val="28"/>
              </w:rPr>
            </w:pPr>
            <w:r>
              <w:rPr>
                <w:rFonts w:hAnsi="宋体"/>
                <w:szCs w:val="28"/>
              </w:rPr>
              <w:t>联系人：</w:t>
            </w:r>
            <w:r>
              <w:rPr>
                <w:rFonts w:hAnsi="宋体" w:hint="eastAsia"/>
                <w:szCs w:val="28"/>
              </w:rPr>
              <w:t xml:space="preserve">潘易  </w:t>
            </w:r>
            <w:r>
              <w:rPr>
                <w:rFonts w:hAnsi="宋体"/>
                <w:szCs w:val="28"/>
              </w:rPr>
              <w:t xml:space="preserve">  </w:t>
            </w:r>
            <w:r>
              <w:rPr>
                <w:rFonts w:hAnsi="宋体" w:hint="eastAsia"/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 xml:space="preserve"> </w:t>
            </w:r>
            <w:r>
              <w:rPr>
                <w:rFonts w:hAnsi="宋体" w:hint="eastAsia"/>
                <w:szCs w:val="28"/>
              </w:rPr>
              <w:t xml:space="preserve">  </w:t>
            </w:r>
          </w:p>
          <w:p w:rsidR="00960733" w:rsidRDefault="00960733" w:rsidP="002725A2">
            <w:pPr>
              <w:pStyle w:val="a7"/>
              <w:tabs>
                <w:tab w:val="left" w:pos="1440"/>
              </w:tabs>
              <w:spacing w:line="400" w:lineRule="exact"/>
              <w:ind w:firstLine="0"/>
              <w:jc w:val="left"/>
              <w:rPr>
                <w:rFonts w:hAnsi="宋体"/>
                <w:szCs w:val="28"/>
              </w:rPr>
            </w:pPr>
            <w:r>
              <w:rPr>
                <w:rFonts w:hAnsi="宋体"/>
                <w:szCs w:val="28"/>
              </w:rPr>
              <w:t xml:space="preserve">邮 </w:t>
            </w:r>
            <w:r>
              <w:rPr>
                <w:rFonts w:hAnsi="宋体" w:hint="eastAsia"/>
                <w:szCs w:val="28"/>
              </w:rPr>
              <w:t xml:space="preserve"> 箱：panyi2010@vip.163.com </w:t>
            </w:r>
          </w:p>
          <w:p w:rsidR="00960733" w:rsidRDefault="00960733" w:rsidP="002725A2">
            <w:pPr>
              <w:pStyle w:val="a6"/>
              <w:widowControl/>
              <w:spacing w:line="470" w:lineRule="atLeast"/>
              <w:rPr>
                <w:rFonts w:hAnsi="宋体" w:hint="eastAsia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电</w:t>
            </w:r>
            <w:r>
              <w:rPr>
                <w:rFonts w:hAnsi="宋体"/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话：</w:t>
            </w:r>
            <w:r>
              <w:rPr>
                <w:rFonts w:hAnsi="宋体" w:hint="eastAsia"/>
                <w:b/>
                <w:sz w:val="28"/>
                <w:szCs w:val="28"/>
              </w:rPr>
              <w:t>13522766753    010-52737862</w:t>
            </w:r>
          </w:p>
        </w:tc>
      </w:tr>
    </w:tbl>
    <w:p w:rsidR="00960733" w:rsidRDefault="00960733" w:rsidP="00960733">
      <w:pPr>
        <w:widowControl/>
        <w:shd w:val="clear" w:color="auto" w:fill="FFFFFF"/>
        <w:ind w:firstLine="150"/>
        <w:rPr>
          <w:color w:val="000000"/>
          <w:szCs w:val="21"/>
        </w:rPr>
      </w:pPr>
      <w:r>
        <w:rPr>
          <w:rFonts w:ascii="宋体-PUA" w:eastAsia="宋体-PUA" w:hAnsi="宋体-PUA" w:cs="宋体-PUA"/>
          <w:b/>
          <w:color w:val="000000"/>
          <w:kern w:val="0"/>
          <w:sz w:val="30"/>
          <w:szCs w:val="30"/>
          <w:shd w:val="clear" w:color="auto" w:fill="FFFFFF"/>
        </w:rPr>
        <w:t>备注：</w:t>
      </w:r>
      <w:r>
        <w:rPr>
          <w:rFonts w:ascii="宋体-PUA" w:eastAsia="宋体-PUA" w:hAnsi="宋体-PUA" w:cs="宋体-PUA"/>
          <w:b/>
          <w:color w:val="000000"/>
          <w:kern w:val="0"/>
          <w:sz w:val="28"/>
          <w:szCs w:val="28"/>
          <w:shd w:val="clear" w:color="auto" w:fill="FFFFFF"/>
        </w:rPr>
        <w:t>此表复制有效；欢迎您组织人员参加</w:t>
      </w:r>
    </w:p>
    <w:p w:rsidR="00960733" w:rsidRPr="00960733" w:rsidRDefault="00960733" w:rsidP="00093903">
      <w:pPr>
        <w:snapToGrid w:val="0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960733" w:rsidRPr="00960733" w:rsidSect="00F4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1D" w:rsidRDefault="00F6481D" w:rsidP="00093903">
      <w:r>
        <w:separator/>
      </w:r>
    </w:p>
  </w:endnote>
  <w:endnote w:type="continuationSeparator" w:id="1">
    <w:p w:rsidR="00F6481D" w:rsidRDefault="00F6481D" w:rsidP="0009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1D" w:rsidRDefault="00F6481D" w:rsidP="00093903">
      <w:r>
        <w:separator/>
      </w:r>
    </w:p>
  </w:footnote>
  <w:footnote w:type="continuationSeparator" w:id="1">
    <w:p w:rsidR="00F6481D" w:rsidRDefault="00F6481D" w:rsidP="00093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903"/>
    <w:rsid w:val="00093903"/>
    <w:rsid w:val="00325FE6"/>
    <w:rsid w:val="00960733"/>
    <w:rsid w:val="00F400B3"/>
    <w:rsid w:val="00F6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903"/>
    <w:rPr>
      <w:sz w:val="18"/>
      <w:szCs w:val="18"/>
    </w:rPr>
  </w:style>
  <w:style w:type="character" w:styleId="a5">
    <w:name w:val="Strong"/>
    <w:basedOn w:val="a0"/>
    <w:qFormat/>
    <w:rsid w:val="00093903"/>
    <w:rPr>
      <w:b/>
    </w:rPr>
  </w:style>
  <w:style w:type="paragraph" w:styleId="a6">
    <w:name w:val="Normal (Web)"/>
    <w:basedOn w:val="a"/>
    <w:rsid w:val="00960733"/>
    <w:rPr>
      <w:sz w:val="24"/>
      <w:szCs w:val="20"/>
    </w:rPr>
  </w:style>
  <w:style w:type="paragraph" w:styleId="a7">
    <w:name w:val="Body Text Indent"/>
    <w:basedOn w:val="a"/>
    <w:link w:val="Char1"/>
    <w:rsid w:val="00960733"/>
    <w:pPr>
      <w:widowControl/>
      <w:spacing w:line="560" w:lineRule="atLeast"/>
      <w:ind w:firstLine="555"/>
    </w:pPr>
    <w:rPr>
      <w:rFonts w:ascii="仿宋_GB2312" w:eastAsia="仿宋_GB2312"/>
      <w:b/>
      <w:kern w:val="0"/>
      <w:sz w:val="28"/>
      <w:szCs w:val="20"/>
    </w:rPr>
  </w:style>
  <w:style w:type="character" w:customStyle="1" w:styleId="Char1">
    <w:name w:val="正文文本缩进 Char"/>
    <w:basedOn w:val="a0"/>
    <w:link w:val="a7"/>
    <w:rsid w:val="00960733"/>
    <w:rPr>
      <w:rFonts w:ascii="仿宋_GB2312" w:eastAsia="仿宋_GB2312" w:hAnsi="Times New Roman" w:cs="Times New Roman"/>
      <w:b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zhangling</dc:creator>
  <cp:keywords/>
  <dc:description/>
  <cp:lastModifiedBy>zhangling</cp:lastModifiedBy>
  <cp:revision>3</cp:revision>
  <dcterms:created xsi:type="dcterms:W3CDTF">2014-09-23T08:40:00Z</dcterms:created>
  <dcterms:modified xsi:type="dcterms:W3CDTF">2014-09-23T08:43:00Z</dcterms:modified>
</cp:coreProperties>
</file>